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58167A3C" w:rsidR="005C1AC0" w:rsidRDefault="00B712EB" w:rsidP="00A86144">
            <w:r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43E83EA6" w:rsidR="00966D12" w:rsidRDefault="006D2C23" w:rsidP="00A86144">
            <w:proofErr w:type="spellStart"/>
            <w:r>
              <w:t>Trevayler</w:t>
            </w:r>
            <w:proofErr w:type="spellEnd"/>
            <w:r>
              <w:t xml:space="preserve"> – Burton Road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Default="00B712EB" w:rsidP="00A86144">
            <w:r>
              <w:t>Line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0C698A7D" w:rsidR="000C1A7F" w:rsidRDefault="00B712EB" w:rsidP="00A90B86">
            <w:r>
              <w:t>£</w:t>
            </w:r>
            <w:r w:rsidR="00E54B50">
              <w:t>24,570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633151C7" w:rsidR="000C1A7F" w:rsidRDefault="00E54B50" w:rsidP="00A86144">
            <w:r>
              <w:t>August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1D256D5" w14:textId="77777777" w:rsidR="00366702" w:rsidRPr="0087020C" w:rsidRDefault="00366702" w:rsidP="00366702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1D59DDE8" w14:textId="77777777" w:rsidR="00366702" w:rsidRPr="0087020C" w:rsidRDefault="00366702" w:rsidP="00366702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2F4170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22B8DAC" w14:textId="77777777" w:rsidR="000B047B" w:rsidRDefault="000B047B" w:rsidP="000B047B">
            <w:pPr>
              <w:ind w:left="360"/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2FB0D83" w14:textId="77777777" w:rsidR="000B047B" w:rsidRDefault="000B047B" w:rsidP="000B047B">
            <w:pPr>
              <w:ind w:left="360"/>
              <w:rPr>
                <w:rFonts w:asciiTheme="majorHAnsi" w:hAnsiTheme="majorHAnsi" w:cs="Helvetica"/>
                <w:shd w:val="clear" w:color="auto" w:fill="FFFFFF"/>
              </w:rPr>
            </w:pPr>
          </w:p>
          <w:p w14:paraId="1C57E0E6" w14:textId="77777777" w:rsidR="000B047B" w:rsidRDefault="000B047B" w:rsidP="000B047B">
            <w:pPr>
              <w:ind w:left="360"/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6EC826C" w14:textId="77777777" w:rsidR="000B047B" w:rsidRDefault="000B047B" w:rsidP="000B047B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2FA36A4C" w14:textId="77777777" w:rsidR="000B047B" w:rsidRDefault="000B047B" w:rsidP="000B047B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0597C462" w14:textId="77777777" w:rsidR="006D2C23" w:rsidRPr="006D2C23" w:rsidRDefault="006D2C23" w:rsidP="006D2C23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gramStart"/>
            <w:r w:rsidRPr="006D2C2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Safe Haven</w:t>
            </w:r>
            <w:proofErr w:type="gramEnd"/>
            <w:r w:rsidRPr="006D2C2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:  </w:t>
            </w:r>
          </w:p>
          <w:p w14:paraId="2A55919C" w14:textId="77777777" w:rsidR="006D2C23" w:rsidRPr="006D2C23" w:rsidRDefault="006D2C23" w:rsidP="006D2C2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6D2C23">
              <w:rPr>
                <w:rFonts w:asciiTheme="majorHAnsi" w:hAnsiTheme="majorHAnsi" w:cs="Helvetica"/>
                <w:shd w:val="clear" w:color="auto" w:fill="FFFFFF"/>
              </w:rPr>
              <w:t xml:space="preserve">Delivered by </w:t>
            </w:r>
            <w:proofErr w:type="spellStart"/>
            <w:r w:rsidRPr="006D2C23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6D2C23">
              <w:rPr>
                <w:rFonts w:asciiTheme="majorHAnsi" w:hAnsiTheme="majorHAnsi" w:cs="Helvetica"/>
                <w:shd w:val="clear" w:color="auto" w:fill="FFFFFF"/>
              </w:rPr>
              <w:t>, in partnership with the Derbyshire Mental Health Helpline and Support Service, a person or their referrer, can contact the helpline, discuss their current wellbeing, and access the Safe Haven the same day.  We work with people to develop a plan around their ongoing safety and wellbeing, identify the next steps in their recovery and build a sense of hope for the future.  We provide a compassionate and non-judgmental service in a welcoming and therapeutic environment.  </w:t>
            </w:r>
          </w:p>
          <w:p w14:paraId="2FBFD561" w14:textId="77777777" w:rsidR="006D2C23" w:rsidRPr="006D2C23" w:rsidRDefault="006D2C23" w:rsidP="006D2C2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6D2C23">
              <w:rPr>
                <w:rFonts w:asciiTheme="majorHAnsi" w:hAnsiTheme="majorHAnsi" w:cs="Helvetica"/>
                <w:shd w:val="clear" w:color="auto" w:fill="FFFFFF"/>
              </w:rPr>
              <w:t>The service consists of: </w:t>
            </w:r>
          </w:p>
          <w:p w14:paraId="6D69BD8E" w14:textId="77777777" w:rsidR="006D2C23" w:rsidRPr="006D2C23" w:rsidRDefault="006D2C23" w:rsidP="006D2C23">
            <w:pPr>
              <w:numPr>
                <w:ilvl w:val="0"/>
                <w:numId w:val="1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6D2C23">
              <w:rPr>
                <w:rFonts w:asciiTheme="majorHAnsi" w:hAnsiTheme="majorHAnsi" w:cs="Helvetica"/>
                <w:shd w:val="clear" w:color="auto" w:fill="FFFFFF"/>
              </w:rPr>
              <w:t> Face to Face, recovery orientated support </w:t>
            </w:r>
          </w:p>
          <w:p w14:paraId="0C99F031" w14:textId="77777777" w:rsidR="006D2C23" w:rsidRPr="006D2C23" w:rsidRDefault="006D2C23" w:rsidP="006D2C23">
            <w:pPr>
              <w:numPr>
                <w:ilvl w:val="0"/>
                <w:numId w:val="1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6D2C23">
              <w:rPr>
                <w:rFonts w:asciiTheme="majorHAnsi" w:hAnsiTheme="majorHAnsi" w:cs="Helvetica"/>
                <w:shd w:val="clear" w:color="auto" w:fill="FFFFFF"/>
              </w:rPr>
              <w:t> Safety Planning and therapeutic approaches </w:t>
            </w:r>
          </w:p>
          <w:p w14:paraId="08A0482B" w14:textId="77777777" w:rsidR="006D2C23" w:rsidRPr="006D2C23" w:rsidRDefault="006D2C23" w:rsidP="006D2C23">
            <w:pPr>
              <w:numPr>
                <w:ilvl w:val="0"/>
                <w:numId w:val="1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6D2C23">
              <w:rPr>
                <w:rFonts w:asciiTheme="majorHAnsi" w:hAnsiTheme="majorHAnsi" w:cs="Helvetica"/>
                <w:shd w:val="clear" w:color="auto" w:fill="FFFFFF"/>
              </w:rPr>
              <w:t>Sign posting  </w:t>
            </w:r>
          </w:p>
          <w:p w14:paraId="07FD4E39" w14:textId="77777777" w:rsidR="006D2C23" w:rsidRPr="006D2C23" w:rsidRDefault="006D2C23" w:rsidP="006D2C23">
            <w:pPr>
              <w:numPr>
                <w:ilvl w:val="0"/>
                <w:numId w:val="1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6D2C23">
              <w:rPr>
                <w:rFonts w:asciiTheme="majorHAnsi" w:hAnsiTheme="majorHAnsi" w:cs="Helvetica"/>
                <w:shd w:val="clear" w:color="auto" w:fill="FFFFFF"/>
              </w:rPr>
              <w:t>Peer support</w:t>
            </w:r>
          </w:p>
          <w:p w14:paraId="1BAEA7D1" w14:textId="77777777" w:rsidR="006D2C23" w:rsidRPr="006D2C23" w:rsidRDefault="006D2C23" w:rsidP="006D2C23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6D2C23">
              <w:rPr>
                <w:rFonts w:asciiTheme="majorHAnsi" w:hAnsiTheme="majorHAnsi" w:cs="Helvetica"/>
                <w:shd w:val="clear" w:color="auto" w:fill="FFFFFF"/>
              </w:rPr>
              <w:t>The service is open to anyone aged 16 and over. We are open early evening until late, 7 days a week, we are located approximately 10 minutes from Derby City Centre.  </w:t>
            </w:r>
          </w:p>
          <w:p w14:paraId="50B370FD" w14:textId="2881E3BE" w:rsidR="001B54CE" w:rsidRPr="00A86144" w:rsidRDefault="001B54CE" w:rsidP="00327A6E">
            <w:pPr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369E5703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181A1B4D" w14:textId="77777777" w:rsidR="00290376" w:rsidRDefault="00290376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3D4D9E" w14:textId="0C2C3C83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5F23FF91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0B047B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0B047B">
        <w:trPr>
          <w:trHeight w:val="569"/>
          <w:jc w:val="center"/>
        </w:trPr>
        <w:tc>
          <w:tcPr>
            <w:tcW w:w="7225" w:type="dxa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693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0B047B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0B047B">
        <w:trPr>
          <w:trHeight w:val="569"/>
          <w:jc w:val="center"/>
        </w:trPr>
        <w:tc>
          <w:tcPr>
            <w:tcW w:w="7225" w:type="dxa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693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0B047B">
        <w:trPr>
          <w:trHeight w:val="569"/>
          <w:jc w:val="center"/>
        </w:trPr>
        <w:tc>
          <w:tcPr>
            <w:tcW w:w="7225" w:type="dxa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693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0B047B">
        <w:trPr>
          <w:trHeight w:val="569"/>
          <w:jc w:val="center"/>
        </w:trPr>
        <w:tc>
          <w:tcPr>
            <w:tcW w:w="7225" w:type="dxa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693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0B047B">
        <w:trPr>
          <w:trHeight w:val="569"/>
          <w:jc w:val="center"/>
        </w:trPr>
        <w:tc>
          <w:tcPr>
            <w:tcW w:w="7225" w:type="dxa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693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0B047B">
        <w:trPr>
          <w:trHeight w:val="569"/>
          <w:jc w:val="center"/>
        </w:trPr>
        <w:tc>
          <w:tcPr>
            <w:tcW w:w="7225" w:type="dxa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693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0B047B">
        <w:trPr>
          <w:trHeight w:val="569"/>
          <w:jc w:val="center"/>
        </w:trPr>
        <w:tc>
          <w:tcPr>
            <w:tcW w:w="7225" w:type="dxa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693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0B047B">
        <w:trPr>
          <w:trHeight w:val="569"/>
          <w:jc w:val="center"/>
        </w:trPr>
        <w:tc>
          <w:tcPr>
            <w:tcW w:w="7225" w:type="dxa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693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0B047B">
        <w:trPr>
          <w:trHeight w:val="569"/>
          <w:jc w:val="center"/>
        </w:trPr>
        <w:tc>
          <w:tcPr>
            <w:tcW w:w="7225" w:type="dxa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693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0B047B">
        <w:trPr>
          <w:trHeight w:val="569"/>
          <w:jc w:val="center"/>
        </w:trPr>
        <w:tc>
          <w:tcPr>
            <w:tcW w:w="7225" w:type="dxa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693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0B047B">
        <w:trPr>
          <w:trHeight w:val="569"/>
          <w:jc w:val="center"/>
        </w:trPr>
        <w:tc>
          <w:tcPr>
            <w:tcW w:w="7225" w:type="dxa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693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0B047B">
        <w:trPr>
          <w:trHeight w:val="569"/>
          <w:jc w:val="center"/>
        </w:trPr>
        <w:tc>
          <w:tcPr>
            <w:tcW w:w="7225" w:type="dxa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693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0B047B">
        <w:trPr>
          <w:trHeight w:val="569"/>
          <w:jc w:val="center"/>
        </w:trPr>
        <w:tc>
          <w:tcPr>
            <w:tcW w:w="7225" w:type="dxa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693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0B047B">
        <w:trPr>
          <w:trHeight w:val="569"/>
          <w:jc w:val="center"/>
        </w:trPr>
        <w:tc>
          <w:tcPr>
            <w:tcW w:w="7225" w:type="dxa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693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02831176" w:rsidR="00290376" w:rsidRDefault="00290376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0B047B">
      <w:pPr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0B047B">
      <w:headerReference w:type="default" r:id="rId11"/>
      <w:footerReference w:type="default" r:id="rId12"/>
      <w:footerReference w:type="first" r:id="rId13"/>
      <w:pgSz w:w="11906" w:h="16838" w:code="9"/>
      <w:pgMar w:top="1843" w:right="851" w:bottom="709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43040966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2719658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60C6"/>
    <w:multiLevelType w:val="multilevel"/>
    <w:tmpl w:val="B6FC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8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5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5"/>
  </w:num>
  <w:num w:numId="3" w16cid:durableId="1556820679">
    <w:abstractNumId w:val="7"/>
  </w:num>
  <w:num w:numId="4" w16cid:durableId="1906063885">
    <w:abstractNumId w:val="4"/>
  </w:num>
  <w:num w:numId="5" w16cid:durableId="180628738">
    <w:abstractNumId w:val="14"/>
  </w:num>
  <w:num w:numId="6" w16cid:durableId="933519138">
    <w:abstractNumId w:val="12"/>
  </w:num>
  <w:num w:numId="7" w16cid:durableId="865411638">
    <w:abstractNumId w:val="5"/>
  </w:num>
  <w:num w:numId="8" w16cid:durableId="32004467">
    <w:abstractNumId w:val="13"/>
  </w:num>
  <w:num w:numId="9" w16cid:durableId="226963682">
    <w:abstractNumId w:val="3"/>
  </w:num>
  <w:num w:numId="10" w16cid:durableId="1790204306">
    <w:abstractNumId w:val="4"/>
  </w:num>
  <w:num w:numId="11" w16cid:durableId="1134762007">
    <w:abstractNumId w:val="8"/>
  </w:num>
  <w:num w:numId="12" w16cid:durableId="1093282997">
    <w:abstractNumId w:val="11"/>
  </w:num>
  <w:num w:numId="13" w16cid:durableId="792595668">
    <w:abstractNumId w:val="4"/>
  </w:num>
  <w:num w:numId="14" w16cid:durableId="1964771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2"/>
  </w:num>
  <w:num w:numId="16" w16cid:durableId="980037762">
    <w:abstractNumId w:val="6"/>
  </w:num>
  <w:num w:numId="17" w16cid:durableId="1169172120">
    <w:abstractNumId w:val="9"/>
  </w:num>
  <w:num w:numId="18" w16cid:durableId="1897549561">
    <w:abstractNumId w:val="4"/>
  </w:num>
  <w:num w:numId="19" w16cid:durableId="91154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94ED7"/>
    <w:rsid w:val="000B047B"/>
    <w:rsid w:val="000C041F"/>
    <w:rsid w:val="000C1A7F"/>
    <w:rsid w:val="000C1CC6"/>
    <w:rsid w:val="000D0391"/>
    <w:rsid w:val="000F5150"/>
    <w:rsid w:val="0010250E"/>
    <w:rsid w:val="00102F44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54CE"/>
    <w:rsid w:val="001B743F"/>
    <w:rsid w:val="001D0ACA"/>
    <w:rsid w:val="002040E6"/>
    <w:rsid w:val="00215006"/>
    <w:rsid w:val="00231827"/>
    <w:rsid w:val="00241B7B"/>
    <w:rsid w:val="002815F8"/>
    <w:rsid w:val="00286AC9"/>
    <w:rsid w:val="00290376"/>
    <w:rsid w:val="002A780A"/>
    <w:rsid w:val="002B7CD2"/>
    <w:rsid w:val="002C09DE"/>
    <w:rsid w:val="002C5209"/>
    <w:rsid w:val="002F4170"/>
    <w:rsid w:val="003039DD"/>
    <w:rsid w:val="00322A15"/>
    <w:rsid w:val="00327A6E"/>
    <w:rsid w:val="00331270"/>
    <w:rsid w:val="00333F36"/>
    <w:rsid w:val="003417EE"/>
    <w:rsid w:val="00366702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37519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D2C23"/>
    <w:rsid w:val="006E5D12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70EC"/>
    <w:rsid w:val="00810DA8"/>
    <w:rsid w:val="00826C05"/>
    <w:rsid w:val="00833FE9"/>
    <w:rsid w:val="00847117"/>
    <w:rsid w:val="008554D4"/>
    <w:rsid w:val="00860EA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10826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54B50"/>
    <w:rsid w:val="00E619EA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0CF5"/>
    <w:rsid w:val="00F57B88"/>
    <w:rsid w:val="00F636C3"/>
    <w:rsid w:val="00F71AFA"/>
    <w:rsid w:val="00F8228B"/>
    <w:rsid w:val="00F95767"/>
    <w:rsid w:val="00FC4951"/>
    <w:rsid w:val="00FC7B4B"/>
    <w:rsid w:val="00FD5444"/>
    <w:rsid w:val="00FE4DC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wio0">
    <w:name w:val="wio0"/>
    <w:basedOn w:val="DefaultParagraphFont"/>
    <w:rsid w:val="001B5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6A0A2-EB9B-4D7F-A4C7-7B11BCC260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a8bc24b-2b39-458f-bef1-4af94c68e9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</TotalTime>
  <Pages>4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2025-08-22T09:46:00Z</dcterms:created>
  <dcterms:modified xsi:type="dcterms:W3CDTF">2025-08-22T09:46:00Z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