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545A5752" w:rsidR="005C1AC0" w:rsidRDefault="00B712EB" w:rsidP="00A86144">
            <w:r>
              <w:t>Recovery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51B6DF9B" w:rsidR="00966D12" w:rsidRDefault="00D44A56" w:rsidP="00A86144">
            <w:r>
              <w:t>The Belmont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2A8D44BD" w:rsidR="00966D12" w:rsidRDefault="00B712EB" w:rsidP="00A86144">
            <w:r>
              <w:t>Line 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758CF631" w:rsidR="00966D12" w:rsidRDefault="00FE4DC4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7328D7D2" w:rsidR="000C1A7F" w:rsidRDefault="00290376" w:rsidP="00A86144">
            <w:r>
              <w:t>Enhanced DBS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00D44A56">
        <w:trPr>
          <w:trHeight w:hRule="exact" w:val="6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0797C455" w:rsidR="000C1A7F" w:rsidRDefault="00D44A56" w:rsidP="00A90B86">
            <w:r>
              <w:t>£26,420, inclusive of £1,500 Hotspot and £350 Location allowance per annum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18BC2453" w:rsidR="000C1A7F" w:rsidRDefault="007128F6" w:rsidP="00A86144">
            <w:r>
              <w:t>Ju</w:t>
            </w:r>
            <w:r w:rsidR="00D44A56">
              <w:t>ly</w:t>
            </w:r>
            <w:r w:rsidR="00B712EB">
              <w:t xml:space="preserve">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1D256D5" w14:textId="77777777" w:rsidR="00366702" w:rsidRPr="0087020C" w:rsidRDefault="00366702" w:rsidP="00366702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1D59DDE8" w14:textId="77777777" w:rsidR="00366702" w:rsidRPr="0087020C" w:rsidRDefault="00366702" w:rsidP="00366702">
            <w:r>
              <w:t xml:space="preserve">(Description of </w:t>
            </w:r>
            <w:proofErr w:type="spellStart"/>
            <w:r>
              <w:t>Waythrough</w:t>
            </w:r>
            <w:proofErr w:type="spellEnd"/>
            <w:r>
              <w:t xml:space="preserve"> and specifics of Service/Function/Office)</w:t>
            </w:r>
          </w:p>
          <w:p w14:paraId="3D3A86FC" w14:textId="77777777" w:rsidR="00966D12" w:rsidRPr="00A86144" w:rsidRDefault="00966D12" w:rsidP="002F4170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It was a subsidiary of Richmond Fellowship and is now a subsidiary of </w:t>
            </w: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>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620E3AEB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6264DC68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0CF681BE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1C5DF131" w14:textId="77777777" w:rsidR="007128F6" w:rsidRDefault="007128F6" w:rsidP="007128F6">
            <w:pPr>
              <w:pStyle w:val="TableParagraph"/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  <w:p w14:paraId="5C4B965E" w14:textId="77777777" w:rsidR="00D44A56" w:rsidRDefault="00D44A56" w:rsidP="00D44A56">
            <w:r w:rsidRPr="002B3562">
              <w:t xml:space="preserve">We provide supported housing for people who are experiencing mental ill health. Our service is tailored to each person with the </w:t>
            </w:r>
            <w:proofErr w:type="gramStart"/>
            <w:r w:rsidRPr="002B3562">
              <w:t>ultimate goal</w:t>
            </w:r>
            <w:proofErr w:type="gramEnd"/>
            <w:r w:rsidRPr="002B3562">
              <w:t xml:space="preserve"> to help you manage your accommodation and move back into independent living and connect with the wider community.</w:t>
            </w:r>
            <w:r>
              <w:t xml:space="preserve">  </w:t>
            </w:r>
          </w:p>
          <w:p w14:paraId="5AD47661" w14:textId="77777777" w:rsidR="00D44A56" w:rsidRDefault="00D44A56" w:rsidP="00D44A56"/>
          <w:p w14:paraId="23CE4619" w14:textId="77777777" w:rsidR="00D44A56" w:rsidRDefault="00D44A56" w:rsidP="00D44A56">
            <w:r>
              <w:t xml:space="preserve">The accommodation is temporary, typically for 24 months (about 2 years). We provide support to help you with your move on from this. </w:t>
            </w:r>
          </w:p>
          <w:p w14:paraId="3B640546" w14:textId="77777777" w:rsidR="00D44A56" w:rsidRDefault="00D44A56" w:rsidP="00D44A56"/>
          <w:p w14:paraId="072B2041" w14:textId="77777777" w:rsidR="00D44A56" w:rsidRDefault="00D44A56" w:rsidP="00D44A56">
            <w:r>
              <w:t xml:space="preserve">Our housing in Clevedon consists of 8 self-contained flats, and we have a shared house for 10 people in </w:t>
            </w:r>
            <w:proofErr w:type="spellStart"/>
            <w:r>
              <w:t>Weston-super-Mare</w:t>
            </w:r>
            <w:proofErr w:type="spellEnd"/>
            <w:r>
              <w:t>.  </w:t>
            </w:r>
          </w:p>
          <w:p w14:paraId="50B370FD" w14:textId="77777777" w:rsidR="0087020C" w:rsidRPr="00A86144" w:rsidRDefault="0087020C" w:rsidP="00327A6E">
            <w:pPr>
              <w:rPr>
                <w:b/>
                <w:bCs/>
              </w:rPr>
            </w:pPr>
          </w:p>
        </w:tc>
      </w:tr>
      <w:bookmarkEnd w:id="0"/>
    </w:tbl>
    <w:p w14:paraId="39EEB327" w14:textId="77777777" w:rsidR="00AA55C2" w:rsidRDefault="00AA55C2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369E5703" w14:textId="77777777" w:rsidR="0087020C" w:rsidRPr="0087020C" w:rsidRDefault="0087020C" w:rsidP="00290376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03B1EB55" w14:textId="77777777" w:rsidR="007128F6" w:rsidRDefault="007128F6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D3D4D9E" w14:textId="59393BA4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62574B2F" w14:textId="77777777" w:rsidR="0044548F" w:rsidRDefault="0044548F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4F189D4" w14:textId="5AD96DD4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resident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32265252" w14:textId="77777777" w:rsidR="0044548F" w:rsidRDefault="0044548F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3413C29" w14:textId="101C8BA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</w:p>
          <w:p w14:paraId="7EE578DA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77777777" w:rsidR="00E44E20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centred</w:t>
            </w:r>
            <w:proofErr w:type="spell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lastRenderedPageBreak/>
              <w:t>aspirations</w:t>
            </w:r>
          </w:p>
          <w:p w14:paraId="4FC6EC20" w14:textId="77777777" w:rsidR="007128F6" w:rsidRDefault="007128F6" w:rsidP="007128F6">
            <w:pPr>
              <w:pStyle w:val="TableParagraph"/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</w:p>
          <w:p w14:paraId="261FB97C" w14:textId="77777777" w:rsidR="007128F6" w:rsidRDefault="007128F6" w:rsidP="007128F6">
            <w:pPr>
              <w:pStyle w:val="TableParagraph"/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</w:p>
          <w:p w14:paraId="564E4C6C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proofErr w:type="gram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3E7BAD25" w14:textId="77777777" w:rsidR="0087020C" w:rsidRPr="005850A4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5F23FF91" w14:textId="77777777" w:rsidR="0087020C" w:rsidRPr="0087020C" w:rsidRDefault="0087020C" w:rsidP="00290376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225"/>
        <w:gridCol w:w="2693"/>
      </w:tblGrid>
      <w:tr w:rsidR="00D3372A" w:rsidRPr="005E60C9" w14:paraId="78B974C5" w14:textId="77777777" w:rsidTr="0044548F">
        <w:trPr>
          <w:trHeight w:hRule="exact" w:val="775"/>
          <w:jc w:val="center"/>
        </w:trPr>
        <w:tc>
          <w:tcPr>
            <w:tcW w:w="7225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693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693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Pr="0044548F" w:rsidRDefault="00810DA8" w:rsidP="62EC7EF3">
      <w:pPr>
        <w:ind w:left="720"/>
        <w:rPr>
          <w:b/>
          <w:bCs/>
          <w:color w:val="427D5F" w:themeColor="text2"/>
          <w:sz w:val="10"/>
          <w:szCs w:val="10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225"/>
        <w:gridCol w:w="2693"/>
      </w:tblGrid>
      <w:tr w:rsidR="00F71AFA" w:rsidRPr="005E60C9" w14:paraId="64DE656F" w14:textId="77777777" w:rsidTr="0044548F">
        <w:trPr>
          <w:trHeight w:hRule="exact" w:val="775"/>
          <w:jc w:val="center"/>
        </w:trPr>
        <w:tc>
          <w:tcPr>
            <w:tcW w:w="7225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693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693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693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693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693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693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693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693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693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693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693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693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693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44548F">
        <w:trPr>
          <w:trHeight w:val="569"/>
          <w:jc w:val="center"/>
        </w:trPr>
        <w:tc>
          <w:tcPr>
            <w:tcW w:w="7225" w:type="dxa"/>
            <w:shd w:val="clear" w:color="auto" w:fill="auto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693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039EE9FC" w14:textId="77777777" w:rsidR="00F71AFA" w:rsidRPr="0044548F" w:rsidRDefault="00F71AFA" w:rsidP="62EC7EF3">
      <w:pPr>
        <w:ind w:left="720"/>
        <w:rPr>
          <w:b/>
          <w:bCs/>
          <w:color w:val="427D5F" w:themeColor="text2"/>
          <w:sz w:val="10"/>
          <w:szCs w:val="10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21318FCD" w14:textId="120E63E7" w:rsidR="00056EEB" w:rsidRPr="009A1507" w:rsidRDefault="3AD2A6DF" w:rsidP="62EC7EF3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t>Not applicable for this role</w:t>
            </w:r>
          </w:p>
        </w:tc>
        <w:tc>
          <w:tcPr>
            <w:tcW w:w="2977" w:type="dxa"/>
            <w:vAlign w:val="center"/>
          </w:tcPr>
          <w:p w14:paraId="05668038" w14:textId="26473FD3" w:rsidR="00056EEB" w:rsidRPr="00DA0757" w:rsidRDefault="00056EEB" w:rsidP="62EC7EF3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44548F" w:rsidRDefault="001666DB" w:rsidP="0044548F">
      <w:pPr>
        <w:rPr>
          <w:b/>
          <w:bCs/>
          <w:color w:val="427D5F" w:themeColor="text2"/>
          <w:sz w:val="10"/>
          <w:szCs w:val="10"/>
        </w:rPr>
      </w:pPr>
    </w:p>
    <w:sectPr w:rsidR="001666DB" w:rsidRPr="0044548F" w:rsidSect="0044548F">
      <w:headerReference w:type="default" r:id="rId11"/>
      <w:footerReference w:type="default" r:id="rId12"/>
      <w:footerReference w:type="first" r:id="rId13"/>
      <w:pgSz w:w="11906" w:h="16838" w:code="9"/>
      <w:pgMar w:top="1843" w:right="851" w:bottom="709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82921796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760473170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226A8"/>
    <w:rsid w:val="0003721E"/>
    <w:rsid w:val="00051712"/>
    <w:rsid w:val="00056EEB"/>
    <w:rsid w:val="00086A43"/>
    <w:rsid w:val="00094ED7"/>
    <w:rsid w:val="000C041F"/>
    <w:rsid w:val="000C1A7F"/>
    <w:rsid w:val="000C1CC6"/>
    <w:rsid w:val="000D0391"/>
    <w:rsid w:val="000F5150"/>
    <w:rsid w:val="0010250E"/>
    <w:rsid w:val="00102F44"/>
    <w:rsid w:val="00114580"/>
    <w:rsid w:val="001266CA"/>
    <w:rsid w:val="00140516"/>
    <w:rsid w:val="0014362C"/>
    <w:rsid w:val="00146AB0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2040E6"/>
    <w:rsid w:val="00215006"/>
    <w:rsid w:val="00231827"/>
    <w:rsid w:val="00241B7B"/>
    <w:rsid w:val="00265A35"/>
    <w:rsid w:val="002815F8"/>
    <w:rsid w:val="00286AC9"/>
    <w:rsid w:val="00290376"/>
    <w:rsid w:val="002A780A"/>
    <w:rsid w:val="002B7CD2"/>
    <w:rsid w:val="002C09DE"/>
    <w:rsid w:val="002C5209"/>
    <w:rsid w:val="002D560D"/>
    <w:rsid w:val="002F4170"/>
    <w:rsid w:val="003039DD"/>
    <w:rsid w:val="00322A15"/>
    <w:rsid w:val="00327A6E"/>
    <w:rsid w:val="00331270"/>
    <w:rsid w:val="00333F36"/>
    <w:rsid w:val="003417EE"/>
    <w:rsid w:val="00366702"/>
    <w:rsid w:val="00386945"/>
    <w:rsid w:val="00390595"/>
    <w:rsid w:val="003B1ED2"/>
    <w:rsid w:val="003C064E"/>
    <w:rsid w:val="003C0659"/>
    <w:rsid w:val="003C4D87"/>
    <w:rsid w:val="003C75EB"/>
    <w:rsid w:val="003D107C"/>
    <w:rsid w:val="003E1809"/>
    <w:rsid w:val="003E4962"/>
    <w:rsid w:val="0041146C"/>
    <w:rsid w:val="0041396D"/>
    <w:rsid w:val="004220D3"/>
    <w:rsid w:val="00434934"/>
    <w:rsid w:val="004365A0"/>
    <w:rsid w:val="00442309"/>
    <w:rsid w:val="0044548F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850A4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7943"/>
    <w:rsid w:val="00682BE9"/>
    <w:rsid w:val="006A1AA2"/>
    <w:rsid w:val="006D2112"/>
    <w:rsid w:val="006E5D12"/>
    <w:rsid w:val="007128F6"/>
    <w:rsid w:val="00742FE7"/>
    <w:rsid w:val="00743A23"/>
    <w:rsid w:val="00744681"/>
    <w:rsid w:val="00763BCD"/>
    <w:rsid w:val="00782AD3"/>
    <w:rsid w:val="0079108C"/>
    <w:rsid w:val="00791689"/>
    <w:rsid w:val="007C10D3"/>
    <w:rsid w:val="007C6085"/>
    <w:rsid w:val="00802BDC"/>
    <w:rsid w:val="008070EC"/>
    <w:rsid w:val="00810DA8"/>
    <w:rsid w:val="00826C05"/>
    <w:rsid w:val="00833FE9"/>
    <w:rsid w:val="00847117"/>
    <w:rsid w:val="008554D4"/>
    <w:rsid w:val="00860EA9"/>
    <w:rsid w:val="0087020C"/>
    <w:rsid w:val="00881068"/>
    <w:rsid w:val="008B3418"/>
    <w:rsid w:val="008C45FD"/>
    <w:rsid w:val="009008DC"/>
    <w:rsid w:val="00905ADA"/>
    <w:rsid w:val="00907C67"/>
    <w:rsid w:val="0091692C"/>
    <w:rsid w:val="00916A5A"/>
    <w:rsid w:val="00917536"/>
    <w:rsid w:val="0091754A"/>
    <w:rsid w:val="00927EF4"/>
    <w:rsid w:val="00952F7F"/>
    <w:rsid w:val="00963529"/>
    <w:rsid w:val="00966D12"/>
    <w:rsid w:val="009715DD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41A55"/>
    <w:rsid w:val="00A521FE"/>
    <w:rsid w:val="00A61C1C"/>
    <w:rsid w:val="00A7511A"/>
    <w:rsid w:val="00A80416"/>
    <w:rsid w:val="00A86144"/>
    <w:rsid w:val="00A90B86"/>
    <w:rsid w:val="00A95CB5"/>
    <w:rsid w:val="00AA55C2"/>
    <w:rsid w:val="00AA69DC"/>
    <w:rsid w:val="00AB5109"/>
    <w:rsid w:val="00AD1E35"/>
    <w:rsid w:val="00AD5EC9"/>
    <w:rsid w:val="00AE2F58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DAC"/>
    <w:rsid w:val="00B97BE1"/>
    <w:rsid w:val="00BC18F1"/>
    <w:rsid w:val="00BF2B1B"/>
    <w:rsid w:val="00C0551B"/>
    <w:rsid w:val="00C14665"/>
    <w:rsid w:val="00C15498"/>
    <w:rsid w:val="00C20D6D"/>
    <w:rsid w:val="00C23678"/>
    <w:rsid w:val="00C403DD"/>
    <w:rsid w:val="00C40FAC"/>
    <w:rsid w:val="00C53E5C"/>
    <w:rsid w:val="00C63ADE"/>
    <w:rsid w:val="00C65ED2"/>
    <w:rsid w:val="00CB3A3A"/>
    <w:rsid w:val="00CB706E"/>
    <w:rsid w:val="00CD7F59"/>
    <w:rsid w:val="00D1042E"/>
    <w:rsid w:val="00D136EF"/>
    <w:rsid w:val="00D313C1"/>
    <w:rsid w:val="00D3372A"/>
    <w:rsid w:val="00D33E0A"/>
    <w:rsid w:val="00D36ADA"/>
    <w:rsid w:val="00D44A56"/>
    <w:rsid w:val="00D52076"/>
    <w:rsid w:val="00D55092"/>
    <w:rsid w:val="00D81513"/>
    <w:rsid w:val="00DA0757"/>
    <w:rsid w:val="00DB1E37"/>
    <w:rsid w:val="00DC49DF"/>
    <w:rsid w:val="00DD20DA"/>
    <w:rsid w:val="00DF5C37"/>
    <w:rsid w:val="00E04E81"/>
    <w:rsid w:val="00E2479F"/>
    <w:rsid w:val="00E3788A"/>
    <w:rsid w:val="00E44E20"/>
    <w:rsid w:val="00E619EA"/>
    <w:rsid w:val="00E73AF6"/>
    <w:rsid w:val="00E85FAD"/>
    <w:rsid w:val="00EC5BC9"/>
    <w:rsid w:val="00ED1A28"/>
    <w:rsid w:val="00F007AC"/>
    <w:rsid w:val="00F2081A"/>
    <w:rsid w:val="00F2356F"/>
    <w:rsid w:val="00F447F5"/>
    <w:rsid w:val="00F50B68"/>
    <w:rsid w:val="00F57B88"/>
    <w:rsid w:val="00F636C3"/>
    <w:rsid w:val="00F71AFA"/>
    <w:rsid w:val="00F8228B"/>
    <w:rsid w:val="00F95767"/>
    <w:rsid w:val="00FC4951"/>
    <w:rsid w:val="00FC7B4B"/>
    <w:rsid w:val="00FD5444"/>
    <w:rsid w:val="00FE4DC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4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B6A0A2-EB9B-4D7F-A4C7-7B11BCC2602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2a8bc24b-2b39-458f-bef1-4af94c68e9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1</TotalTime>
  <Pages>4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Asun Yague</cp:lastModifiedBy>
  <cp:revision>2</cp:revision>
  <dcterms:created xsi:type="dcterms:W3CDTF">2025-08-01T15:39:00Z</dcterms:created>
  <dcterms:modified xsi:type="dcterms:W3CDTF">2025-08-01T15:39:00Z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